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3D" w:rsidRPr="00873909" w:rsidRDefault="00CE233D" w:rsidP="004B33FF">
      <w:pPr>
        <w:ind w:left="709"/>
        <w:jc w:val="both"/>
        <w:rPr>
          <w:rFonts w:ascii="Arial" w:hAnsi="Arial"/>
          <w:b/>
          <w:szCs w:val="24"/>
        </w:rPr>
      </w:pPr>
    </w:p>
    <w:p w:rsidR="003C31FD" w:rsidRPr="00873909" w:rsidRDefault="003C31FD" w:rsidP="004B33FF">
      <w:pPr>
        <w:ind w:left="709"/>
        <w:jc w:val="both"/>
        <w:rPr>
          <w:rFonts w:ascii="Arial" w:hAnsi="Arial"/>
          <w:b/>
          <w:szCs w:val="24"/>
        </w:rPr>
      </w:pPr>
      <w:r w:rsidRPr="00873909">
        <w:rPr>
          <w:rFonts w:ascii="Arial" w:hAnsi="Arial"/>
          <w:b/>
          <w:szCs w:val="24"/>
        </w:rPr>
        <w:t>TECHNISCHES DATENBLATT</w:t>
      </w:r>
    </w:p>
    <w:p w:rsidR="0064339D" w:rsidRPr="00873909" w:rsidRDefault="0064339D" w:rsidP="004B33FF">
      <w:pPr>
        <w:ind w:left="709"/>
        <w:jc w:val="both"/>
        <w:rPr>
          <w:rFonts w:ascii="Arial" w:hAnsi="Arial"/>
          <w:b/>
          <w:sz w:val="24"/>
        </w:rPr>
      </w:pPr>
    </w:p>
    <w:p w:rsidR="00873909" w:rsidRPr="00873909" w:rsidRDefault="00873909" w:rsidP="004B33FF">
      <w:pPr>
        <w:ind w:left="709"/>
        <w:jc w:val="both"/>
        <w:rPr>
          <w:rFonts w:ascii="Arial" w:hAnsi="Arial"/>
          <w:b/>
          <w:sz w:val="24"/>
        </w:rPr>
      </w:pPr>
    </w:p>
    <w:p w:rsidR="00873909" w:rsidRPr="00FD4BF5" w:rsidRDefault="00873909" w:rsidP="00873909">
      <w:pPr>
        <w:ind w:left="709"/>
        <w:jc w:val="center"/>
        <w:rPr>
          <w:rFonts w:ascii="Arial" w:hAnsi="Arial"/>
          <w:b/>
          <w:sz w:val="30"/>
          <w:szCs w:val="30"/>
          <w:u w:val="single"/>
        </w:rPr>
      </w:pPr>
      <w:r w:rsidRPr="00FD4BF5">
        <w:rPr>
          <w:rFonts w:ascii="Arial" w:hAnsi="Arial"/>
          <w:b/>
          <w:sz w:val="30"/>
          <w:szCs w:val="30"/>
          <w:u w:val="single"/>
        </w:rPr>
        <w:t>kLine Rostschutzgrundierung</w:t>
      </w:r>
    </w:p>
    <w:p w:rsidR="00873909" w:rsidRPr="00873909" w:rsidRDefault="00873909" w:rsidP="00873909">
      <w:pPr>
        <w:ind w:left="709"/>
        <w:jc w:val="center"/>
        <w:rPr>
          <w:rFonts w:ascii="Arial" w:hAnsi="Arial"/>
          <w:b/>
          <w:sz w:val="30"/>
          <w:szCs w:val="30"/>
        </w:rPr>
      </w:pPr>
    </w:p>
    <w:p w:rsidR="00873909" w:rsidRPr="000F4B2E" w:rsidRDefault="00873909" w:rsidP="004B33FF">
      <w:pPr>
        <w:ind w:left="709"/>
        <w:jc w:val="both"/>
        <w:rPr>
          <w:rFonts w:ascii="Arial" w:hAnsi="Arial"/>
          <w:b/>
        </w:rPr>
      </w:pPr>
      <w:r w:rsidRPr="000F4B2E">
        <w:rPr>
          <w:rFonts w:ascii="Arial" w:hAnsi="Arial"/>
          <w:b/>
        </w:rPr>
        <w:t>Produkt-Information</w:t>
      </w:r>
    </w:p>
    <w:p w:rsidR="00873909" w:rsidRPr="000F4B2E" w:rsidRDefault="002C43B0" w:rsidP="00873909">
      <w:pPr>
        <w:ind w:left="709"/>
        <w:rPr>
          <w:rFonts w:ascii="Arial" w:hAnsi="Arial"/>
        </w:rPr>
      </w:pPr>
      <w:r w:rsidRPr="000F4B2E">
        <w:rPr>
          <w:rFonts w:ascii="Arial" w:hAnsi="Arial"/>
          <w:b/>
        </w:rPr>
        <w:t xml:space="preserve">kLine Rostschutzgrundierung </w:t>
      </w:r>
      <w:r w:rsidRPr="000F4B2E">
        <w:rPr>
          <w:rFonts w:ascii="Arial" w:hAnsi="Arial"/>
        </w:rPr>
        <w:t xml:space="preserve">ist ein 1K-Haftprimer mit aktivem Korrosionsschutz für den Fahrzeugbereich, geeignet für Eisen, Stahl, Zink und Aluminium sowie auf überlackierbaren, im PKW-Bereich üblichen Kunstoffen (bei Bedarf empfehlen wir eine Überlackierungsprüfung). </w:t>
      </w:r>
      <w:r w:rsidR="00873909" w:rsidRPr="000F4B2E">
        <w:rPr>
          <w:rFonts w:ascii="Arial" w:hAnsi="Arial"/>
        </w:rPr>
        <w:t>Nur auf gut entfetteten Untergründen verarbeiten.  Zink und Aluminium abschleifen. Nicht auf thermoplastischen Untergrünen verarbeiten. Nicht mit Polyester-Spritzfüller überarbeiten. Überlackierbare mit lösemittelhaltigen und wasserverdünnbaren 1K- und 2K-Lacken.</w:t>
      </w:r>
    </w:p>
    <w:p w:rsidR="00FD4BF5" w:rsidRPr="000F4B2E" w:rsidRDefault="00873909" w:rsidP="00873909">
      <w:pPr>
        <w:ind w:left="709"/>
        <w:rPr>
          <w:rFonts w:ascii="Arial" w:hAnsi="Arial"/>
          <w:b/>
        </w:rPr>
      </w:pPr>
      <w:r w:rsidRPr="000F4B2E">
        <w:rPr>
          <w:rFonts w:ascii="Arial" w:hAnsi="Arial"/>
          <w:b/>
        </w:rPr>
        <w:t>Ergiebigkeit: 6  - 8m²</w:t>
      </w:r>
    </w:p>
    <w:p w:rsidR="00FD4BF5" w:rsidRDefault="00FD4BF5" w:rsidP="00873909">
      <w:pPr>
        <w:ind w:left="709"/>
        <w:rPr>
          <w:rFonts w:ascii="Arial" w:hAnsi="Arial"/>
          <w:b/>
          <w:sz w:val="24"/>
        </w:rPr>
      </w:pPr>
    </w:p>
    <w:tbl>
      <w:tblPr>
        <w:tblStyle w:val="Tabellengitternetz"/>
        <w:tblW w:w="9194" w:type="dxa"/>
        <w:tblInd w:w="709" w:type="dxa"/>
        <w:tblLayout w:type="fixed"/>
        <w:tblLook w:val="04A0"/>
      </w:tblPr>
      <w:tblGrid>
        <w:gridCol w:w="2517"/>
        <w:gridCol w:w="1844"/>
        <w:gridCol w:w="1984"/>
        <w:gridCol w:w="1559"/>
        <w:gridCol w:w="1290"/>
      </w:tblGrid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Farbtöne</w:t>
            </w:r>
          </w:p>
        </w:tc>
        <w:tc>
          <w:tcPr>
            <w:tcW w:w="6677" w:type="dxa"/>
            <w:gridSpan w:val="4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Rotbraun</w:t>
            </w:r>
          </w:p>
        </w:tc>
      </w:tr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Mischungsverhältnis</w:t>
            </w:r>
          </w:p>
        </w:tc>
        <w:tc>
          <w:tcPr>
            <w:tcW w:w="6677" w:type="dxa"/>
            <w:gridSpan w:val="4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</w:p>
        </w:tc>
      </w:tr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Härter</w:t>
            </w:r>
          </w:p>
        </w:tc>
        <w:tc>
          <w:tcPr>
            <w:tcW w:w="6677" w:type="dxa"/>
            <w:gridSpan w:val="4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</w:p>
        </w:tc>
      </w:tr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Verdünnung</w:t>
            </w:r>
          </w:p>
        </w:tc>
        <w:tc>
          <w:tcPr>
            <w:tcW w:w="6677" w:type="dxa"/>
            <w:gridSpan w:val="4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Zugabe: 50%</w:t>
            </w:r>
          </w:p>
        </w:tc>
      </w:tr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Spritzviskosität 20°C</w:t>
            </w:r>
          </w:p>
        </w:tc>
        <w:tc>
          <w:tcPr>
            <w:tcW w:w="6677" w:type="dxa"/>
            <w:gridSpan w:val="4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18 – 22 s 4mm DIN</w:t>
            </w:r>
          </w:p>
        </w:tc>
      </w:tr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Verarbeitung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Spritzdruck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Spritzdüse</w:t>
            </w:r>
          </w:p>
        </w:tc>
        <w:tc>
          <w:tcPr>
            <w:tcW w:w="2849" w:type="dxa"/>
            <w:gridSpan w:val="2"/>
            <w:shd w:val="clear" w:color="auto" w:fill="D9D9D9" w:themeFill="background1" w:themeFillShade="D9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Spritzgänge</w:t>
            </w:r>
          </w:p>
        </w:tc>
      </w:tr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Luft / Fließbecher</w:t>
            </w:r>
          </w:p>
        </w:tc>
        <w:tc>
          <w:tcPr>
            <w:tcW w:w="1844" w:type="dxa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3 – 4 bar</w:t>
            </w:r>
          </w:p>
        </w:tc>
        <w:tc>
          <w:tcPr>
            <w:tcW w:w="1984" w:type="dxa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1,3 – 1,5 mm</w:t>
            </w:r>
          </w:p>
        </w:tc>
        <w:tc>
          <w:tcPr>
            <w:tcW w:w="2849" w:type="dxa"/>
            <w:gridSpan w:val="2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 xml:space="preserve">1 – 2 </w:t>
            </w:r>
          </w:p>
        </w:tc>
      </w:tr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Airless / Airmix</w:t>
            </w:r>
          </w:p>
        </w:tc>
        <w:tc>
          <w:tcPr>
            <w:tcW w:w="1844" w:type="dxa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</w:p>
        </w:tc>
        <w:tc>
          <w:tcPr>
            <w:tcW w:w="2849" w:type="dxa"/>
            <w:gridSpan w:val="2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</w:p>
        </w:tc>
      </w:tr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Tropfzeit</w:t>
            </w:r>
          </w:p>
        </w:tc>
        <w:tc>
          <w:tcPr>
            <w:tcW w:w="6677" w:type="dxa"/>
            <w:gridSpan w:val="4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</w:p>
        </w:tc>
      </w:tr>
      <w:tr w:rsidR="00FD4BF5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Schichtstärke / Trockenfilm</w:t>
            </w:r>
          </w:p>
        </w:tc>
        <w:tc>
          <w:tcPr>
            <w:tcW w:w="6677" w:type="dxa"/>
            <w:gridSpan w:val="4"/>
          </w:tcPr>
          <w:p w:rsidR="00FD4BF5" w:rsidRPr="000F4B2E" w:rsidRDefault="00FD4BF5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10 – 15</w:t>
            </w:r>
          </w:p>
        </w:tc>
      </w:tr>
      <w:tr w:rsidR="000F4B2E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Ablüftzeit</w:t>
            </w:r>
          </w:p>
        </w:tc>
        <w:tc>
          <w:tcPr>
            <w:tcW w:w="6677" w:type="dxa"/>
            <w:gridSpan w:val="4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 xml:space="preserve">10 Min. </w:t>
            </w:r>
          </w:p>
        </w:tc>
      </w:tr>
      <w:tr w:rsidR="000F4B2E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Trocknung (Objekttemp. 20°C)</w:t>
            </w:r>
          </w:p>
        </w:tc>
        <w:tc>
          <w:tcPr>
            <w:tcW w:w="1844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überspritzbar</w:t>
            </w:r>
          </w:p>
        </w:tc>
        <w:tc>
          <w:tcPr>
            <w:tcW w:w="1984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staubtrocken</w:t>
            </w:r>
          </w:p>
        </w:tc>
        <w:tc>
          <w:tcPr>
            <w:tcW w:w="1559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grifffest</w:t>
            </w:r>
          </w:p>
        </w:tc>
        <w:tc>
          <w:tcPr>
            <w:tcW w:w="1290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montagefest</w:t>
            </w:r>
          </w:p>
        </w:tc>
      </w:tr>
      <w:tr w:rsidR="000F4B2E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2:1 mit Mipa Verdünnung UN</w:t>
            </w:r>
          </w:p>
        </w:tc>
        <w:tc>
          <w:tcPr>
            <w:tcW w:w="1844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40 – 50 Min</w:t>
            </w:r>
          </w:p>
        </w:tc>
        <w:tc>
          <w:tcPr>
            <w:tcW w:w="1984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30 – 45 Min</w:t>
            </w:r>
          </w:p>
        </w:tc>
        <w:tc>
          <w:tcPr>
            <w:tcW w:w="1559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30 – 45 Min</w:t>
            </w:r>
          </w:p>
        </w:tc>
        <w:tc>
          <w:tcPr>
            <w:tcW w:w="1290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</w:p>
        </w:tc>
      </w:tr>
      <w:tr w:rsidR="000F4B2E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2:1 mit Mipa 2k-Verdünnung</w:t>
            </w:r>
          </w:p>
        </w:tc>
        <w:tc>
          <w:tcPr>
            <w:tcW w:w="1844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60 – 80 Min</w:t>
            </w:r>
          </w:p>
        </w:tc>
        <w:tc>
          <w:tcPr>
            <w:tcW w:w="1984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50 – 70 Min</w:t>
            </w:r>
          </w:p>
        </w:tc>
        <w:tc>
          <w:tcPr>
            <w:tcW w:w="1559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 w:rsidRPr="000F4B2E">
              <w:rPr>
                <w:rFonts w:ascii="Arial" w:hAnsi="Arial"/>
              </w:rPr>
              <w:t>50 – 70 Min</w:t>
            </w:r>
          </w:p>
        </w:tc>
        <w:tc>
          <w:tcPr>
            <w:tcW w:w="1290" w:type="dxa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</w:p>
        </w:tc>
      </w:tr>
      <w:tr w:rsidR="000F4B2E" w:rsidRPr="000F4B2E" w:rsidTr="00987F59">
        <w:tc>
          <w:tcPr>
            <w:tcW w:w="2517" w:type="dxa"/>
            <w:shd w:val="clear" w:color="auto" w:fill="A6A6A6" w:themeFill="background1" w:themeFillShade="A6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  <w:b/>
              </w:rPr>
            </w:pPr>
            <w:r w:rsidRPr="000F4B2E">
              <w:rPr>
                <w:rFonts w:ascii="Arial" w:hAnsi="Arial"/>
                <w:b/>
              </w:rPr>
              <w:t>VOC-Gesetzgebung</w:t>
            </w:r>
          </w:p>
        </w:tc>
        <w:tc>
          <w:tcPr>
            <w:tcW w:w="6677" w:type="dxa"/>
            <w:gridSpan w:val="4"/>
          </w:tcPr>
          <w:p w:rsidR="000F4B2E" w:rsidRPr="000F4B2E" w:rsidRDefault="000F4B2E" w:rsidP="000F4B2E">
            <w:pPr>
              <w:spacing w:beforeLines="40" w:afterLines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 </w:t>
            </w:r>
            <w:r w:rsidRPr="000F4B2E">
              <w:rPr>
                <w:rFonts w:ascii="Arial" w:hAnsi="Arial"/>
              </w:rPr>
              <w:t>Grenzwert für das Produkt (Kat.B/c): 780 g/l (2007). Dieses Produkt enthält maximal 680 g/l VOC</w:t>
            </w:r>
          </w:p>
        </w:tc>
      </w:tr>
    </w:tbl>
    <w:p w:rsidR="000F4B2E" w:rsidRDefault="000F4B2E" w:rsidP="000F4B2E">
      <w:pPr>
        <w:ind w:firstLine="709"/>
        <w:rPr>
          <w:rFonts w:ascii="Arial" w:hAnsi="Arial"/>
          <w:b/>
          <w:sz w:val="24"/>
        </w:rPr>
      </w:pPr>
    </w:p>
    <w:p w:rsidR="00873909" w:rsidRPr="000F4B2E" w:rsidRDefault="000F4B2E" w:rsidP="000F4B2E">
      <w:pPr>
        <w:ind w:firstLine="709"/>
        <w:rPr>
          <w:rFonts w:ascii="Arial" w:hAnsi="Arial"/>
          <w:b/>
        </w:rPr>
      </w:pPr>
      <w:r w:rsidRPr="000F4B2E">
        <w:rPr>
          <w:rFonts w:ascii="Arial" w:hAnsi="Arial"/>
          <w:b/>
        </w:rPr>
        <w:t>Hi</w:t>
      </w:r>
      <w:r w:rsidR="00873909" w:rsidRPr="000F4B2E">
        <w:rPr>
          <w:rFonts w:ascii="Arial" w:hAnsi="Arial"/>
          <w:b/>
        </w:rPr>
        <w:t xml:space="preserve">nweise: </w:t>
      </w:r>
    </w:p>
    <w:p w:rsidR="00873909" w:rsidRPr="000F4B2E" w:rsidRDefault="00873909" w:rsidP="00873909">
      <w:pPr>
        <w:ind w:left="709"/>
        <w:rPr>
          <w:rFonts w:ascii="Arial" w:hAnsi="Arial"/>
          <w:b/>
        </w:rPr>
      </w:pPr>
      <w:r w:rsidRPr="000F4B2E">
        <w:rPr>
          <w:rFonts w:ascii="Arial" w:hAnsi="Arial"/>
          <w:b/>
        </w:rPr>
        <w:t>Verarbeitungsbedingung: Über +10°C und max. 80% Luftfeuchtigkeit.</w:t>
      </w:r>
    </w:p>
    <w:p w:rsidR="00873909" w:rsidRPr="000F4B2E" w:rsidRDefault="00873909" w:rsidP="00873909">
      <w:pPr>
        <w:ind w:left="709"/>
        <w:rPr>
          <w:rFonts w:ascii="Arial" w:hAnsi="Arial"/>
          <w:b/>
        </w:rPr>
      </w:pPr>
      <w:r w:rsidRPr="000F4B2E">
        <w:rPr>
          <w:rFonts w:ascii="Arial" w:hAnsi="Arial"/>
          <w:b/>
        </w:rPr>
        <w:t xml:space="preserve">Lagerung: im verschlossenen Originalgebinde mindestens 2 </w:t>
      </w:r>
      <w:r w:rsidR="002C43B0" w:rsidRPr="000F4B2E">
        <w:rPr>
          <w:rFonts w:ascii="Arial" w:hAnsi="Arial"/>
          <w:b/>
        </w:rPr>
        <w:t>Jahre</w:t>
      </w:r>
      <w:r w:rsidRPr="000F4B2E">
        <w:rPr>
          <w:rFonts w:ascii="Arial" w:hAnsi="Arial"/>
          <w:b/>
        </w:rPr>
        <w:t xml:space="preserve"> lagerfähig. </w:t>
      </w:r>
    </w:p>
    <w:p w:rsidR="00873909" w:rsidRPr="00873909" w:rsidRDefault="00873909" w:rsidP="00873909">
      <w:pPr>
        <w:ind w:left="709"/>
        <w:rPr>
          <w:rFonts w:ascii="Arial" w:hAnsi="Arial"/>
          <w:sz w:val="24"/>
        </w:rPr>
      </w:pPr>
    </w:p>
    <w:sectPr w:rsidR="00873909" w:rsidRPr="00873909" w:rsidSect="00932FFC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/>
      <w:pgMar w:top="2127" w:right="1134" w:bottom="284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2E" w:rsidRDefault="000F4B2E">
      <w:r>
        <w:separator/>
      </w:r>
    </w:p>
  </w:endnote>
  <w:endnote w:type="continuationSeparator" w:id="0">
    <w:p w:rsidR="000F4B2E" w:rsidRDefault="000F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2E" w:rsidRDefault="000F4B2E" w:rsidP="000F4B2E">
    <w:r w:rsidRPr="00D77A5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margin-left:-57pt;margin-top:.9pt;width:595pt;height:0;z-index:251661312" o:connectortype="straight" strokecolor="#4f81bd" strokeweight="4.75pt">
          <v:shadow type="perspective" color="#243f60" opacity=".5" offset="1pt" offset2="-1pt"/>
        </v:shape>
      </w:pict>
    </w:r>
  </w:p>
  <w:p w:rsidR="000F4B2E" w:rsidRDefault="000F4B2E" w:rsidP="000F4B2E">
    <w:pPr>
      <w:pStyle w:val="Fuzeile"/>
      <w:rPr>
        <w:rFonts w:ascii="Arial" w:hAnsi="Arial" w:cs="Arial"/>
        <w:noProof/>
        <w:sz w:val="12"/>
        <w:szCs w:val="12"/>
        <w:lang w:val="de-AT" w:eastAsia="de-AT"/>
      </w:rPr>
    </w:pPr>
    <w:r>
      <w:rPr>
        <w:rFonts w:ascii="Arial" w:hAnsi="Arial" w:cs="Arial"/>
        <w:noProof/>
        <w:sz w:val="12"/>
        <w:szCs w:val="12"/>
        <w:lang w:val="de-AT" w:eastAsia="de-AT"/>
      </w:rPr>
      <w:t>26.02.2015</w:t>
    </w:r>
  </w:p>
  <w:p w:rsidR="000F4B2E" w:rsidRDefault="000F4B2E" w:rsidP="000F4B2E">
    <w:pPr>
      <w:pStyle w:val="Fuzeile"/>
      <w:rPr>
        <w:rFonts w:ascii="Arial" w:hAnsi="Arial" w:cs="Arial"/>
        <w:sz w:val="12"/>
        <w:szCs w:val="12"/>
        <w:lang w:val="de-AT"/>
      </w:rPr>
    </w:pPr>
  </w:p>
  <w:p w:rsidR="000F4B2E" w:rsidRDefault="000F4B2E" w:rsidP="000F4B2E">
    <w:pPr>
      <w:pStyle w:val="Fuzeile"/>
      <w:rPr>
        <w:rFonts w:ascii="Arial" w:hAnsi="Arial" w:cs="Arial"/>
        <w:sz w:val="12"/>
        <w:szCs w:val="12"/>
        <w:lang w:val="de-AT"/>
      </w:rPr>
    </w:pPr>
  </w:p>
  <w:p w:rsidR="000F4B2E" w:rsidRDefault="000F4B2E" w:rsidP="000F4B2E">
    <w:pPr>
      <w:pStyle w:val="Fuzeile"/>
      <w:jc w:val="center"/>
      <w:rPr>
        <w:rFonts w:ascii="Arial" w:hAnsi="Arial" w:cs="Arial"/>
        <w:b/>
        <w:sz w:val="12"/>
        <w:szCs w:val="12"/>
        <w:lang w:val="de-AT"/>
      </w:rPr>
    </w:pPr>
    <w:r>
      <w:rPr>
        <w:rFonts w:ascii="Arial" w:hAnsi="Arial" w:cs="Arial"/>
        <w:b/>
        <w:sz w:val="12"/>
        <w:szCs w:val="12"/>
        <w:lang w:val="de-AT"/>
      </w:rPr>
      <w:t>Sicherheitshinweise sind dem EG-Sicherheitsdatenblatt oder dem Etikett der Verpackung zu entnehmen.</w:t>
    </w:r>
  </w:p>
  <w:p w:rsidR="000F4B2E" w:rsidRDefault="000F4B2E" w:rsidP="000F4B2E">
    <w:pPr>
      <w:pStyle w:val="Fuzeile"/>
      <w:jc w:val="center"/>
      <w:rPr>
        <w:rFonts w:ascii="Arial" w:hAnsi="Arial" w:cs="Arial"/>
        <w:b/>
        <w:sz w:val="12"/>
        <w:szCs w:val="12"/>
        <w:lang w:val="de-AT"/>
      </w:rPr>
    </w:pPr>
  </w:p>
  <w:p w:rsidR="000F4B2E" w:rsidRDefault="000F4B2E" w:rsidP="000F4B2E">
    <w:pPr>
      <w:jc w:val="both"/>
      <w:rPr>
        <w:rFonts w:ascii="Arial" w:hAnsi="Arial"/>
        <w:b/>
        <w:sz w:val="12"/>
        <w:szCs w:val="12"/>
        <w:lang w:val="en-US"/>
      </w:rPr>
    </w:pPr>
    <w:proofErr w:type="spellStart"/>
    <w:r>
      <w:rPr>
        <w:rFonts w:ascii="Arial" w:hAnsi="Arial"/>
        <w:b/>
        <w:sz w:val="12"/>
        <w:szCs w:val="12"/>
        <w:lang w:val="en-US"/>
      </w:rPr>
      <w:t>Rechtlicher</w:t>
    </w:r>
    <w:proofErr w:type="spellEnd"/>
    <w:r>
      <w:rPr>
        <w:rFonts w:ascii="Arial" w:hAnsi="Arial"/>
        <w:b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b/>
        <w:sz w:val="12"/>
        <w:szCs w:val="12"/>
        <w:lang w:val="en-US"/>
      </w:rPr>
      <w:t>Zusatz</w:t>
    </w:r>
    <w:proofErr w:type="spellEnd"/>
    <w:r>
      <w:rPr>
        <w:rFonts w:ascii="Arial" w:hAnsi="Arial"/>
        <w:b/>
        <w:sz w:val="12"/>
        <w:szCs w:val="12"/>
        <w:lang w:val="en-US"/>
      </w:rPr>
      <w:t>:</w:t>
    </w:r>
  </w:p>
  <w:p w:rsidR="000F4B2E" w:rsidRDefault="000F4B2E" w:rsidP="000F4B2E">
    <w:pPr>
      <w:jc w:val="both"/>
    </w:pPr>
    <w:proofErr w:type="spellStart"/>
    <w:r>
      <w:rPr>
        <w:rFonts w:ascii="Arial" w:hAnsi="Arial"/>
        <w:sz w:val="12"/>
        <w:szCs w:val="12"/>
        <w:lang w:val="en-US"/>
      </w:rPr>
      <w:t>Informationen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insbesondere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Empfehlungen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zur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Anwendung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Endanwendung</w:t>
    </w:r>
    <w:proofErr w:type="spellEnd"/>
    <w:r>
      <w:rPr>
        <w:rFonts w:ascii="Arial" w:hAnsi="Arial"/>
        <w:sz w:val="12"/>
        <w:szCs w:val="12"/>
        <w:lang w:val="en-US"/>
      </w:rPr>
      <w:t xml:space="preserve"> dieses </w:t>
    </w:r>
    <w:proofErr w:type="spellStart"/>
    <w:r>
      <w:rPr>
        <w:rFonts w:ascii="Arial" w:hAnsi="Arial"/>
        <w:sz w:val="12"/>
        <w:szCs w:val="12"/>
        <w:lang w:val="en-US"/>
      </w:rPr>
      <w:t>Produkt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erfolgen</w:t>
    </w:r>
    <w:proofErr w:type="spellEnd"/>
    <w:r>
      <w:rPr>
        <w:rFonts w:ascii="Arial" w:hAnsi="Arial"/>
        <w:sz w:val="12"/>
        <w:szCs w:val="12"/>
        <w:lang w:val="en-US"/>
      </w:rPr>
      <w:t xml:space="preserve"> in </w:t>
    </w:r>
    <w:proofErr w:type="spellStart"/>
    <w:r>
      <w:rPr>
        <w:rFonts w:ascii="Arial" w:hAnsi="Arial"/>
        <w:sz w:val="12"/>
        <w:szCs w:val="12"/>
        <w:lang w:val="en-US"/>
      </w:rPr>
      <w:t>gutem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Glauben</w:t>
    </w:r>
    <w:proofErr w:type="spellEnd"/>
    <w:r>
      <w:rPr>
        <w:rFonts w:ascii="Arial" w:hAnsi="Arial"/>
        <w:sz w:val="12"/>
        <w:szCs w:val="12"/>
        <w:lang w:val="en-US"/>
      </w:rPr>
      <w:t xml:space="preserve">, </w:t>
    </w:r>
    <w:proofErr w:type="spellStart"/>
    <w:r>
      <w:rPr>
        <w:rFonts w:ascii="Arial" w:hAnsi="Arial"/>
        <w:sz w:val="12"/>
        <w:szCs w:val="12"/>
        <w:lang w:val="en-US"/>
      </w:rPr>
      <w:t>basieren</w:t>
    </w:r>
    <w:proofErr w:type="spellEnd"/>
    <w:r>
      <w:rPr>
        <w:rFonts w:ascii="Arial" w:hAnsi="Arial"/>
        <w:sz w:val="12"/>
        <w:szCs w:val="12"/>
        <w:lang w:val="en-US"/>
      </w:rPr>
      <w:t xml:space="preserve"> auf </w:t>
    </w:r>
    <w:proofErr w:type="spellStart"/>
    <w:r>
      <w:rPr>
        <w:rFonts w:ascii="Arial" w:hAnsi="Arial"/>
        <w:sz w:val="12"/>
        <w:szCs w:val="12"/>
        <w:lang w:val="en-US"/>
      </w:rPr>
      <w:t>unserem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aktuellen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Wissenstand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unserer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aktuellen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Erfahrung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mit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diesem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Produkt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gelten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bei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ordnungsgsemäßer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Lagerung</w:t>
    </w:r>
    <w:proofErr w:type="spellEnd"/>
    <w:r>
      <w:rPr>
        <w:rFonts w:ascii="Arial" w:hAnsi="Arial"/>
        <w:sz w:val="12"/>
        <w:szCs w:val="12"/>
        <w:lang w:val="en-US"/>
      </w:rPr>
      <w:t xml:space="preserve">, </w:t>
    </w:r>
    <w:proofErr w:type="spellStart"/>
    <w:r>
      <w:rPr>
        <w:rFonts w:ascii="Arial" w:hAnsi="Arial"/>
        <w:sz w:val="12"/>
        <w:szCs w:val="12"/>
        <w:lang w:val="en-US"/>
      </w:rPr>
      <w:t>Handhabung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Anwendung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normalen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Bedingung</w:t>
    </w:r>
    <w:proofErr w:type="spellEnd"/>
    <w:r>
      <w:rPr>
        <w:rFonts w:ascii="Arial" w:hAnsi="Arial"/>
        <w:sz w:val="12"/>
        <w:szCs w:val="12"/>
        <w:lang w:val="en-US"/>
      </w:rPr>
      <w:t xml:space="preserve">. In </w:t>
    </w:r>
    <w:proofErr w:type="spellStart"/>
    <w:r>
      <w:rPr>
        <w:rFonts w:ascii="Arial" w:hAnsi="Arial"/>
        <w:sz w:val="12"/>
        <w:szCs w:val="12"/>
        <w:lang w:val="en-US"/>
      </w:rPr>
      <w:t>der</w:t>
    </w:r>
    <w:proofErr w:type="spellEnd"/>
    <w:r>
      <w:rPr>
        <w:rFonts w:ascii="Arial" w:hAnsi="Arial"/>
        <w:sz w:val="12"/>
        <w:szCs w:val="12"/>
        <w:lang w:val="en-US"/>
      </w:rPr>
      <w:t xml:space="preserve"> Praxis </w:t>
    </w:r>
    <w:proofErr w:type="spellStart"/>
    <w:r>
      <w:rPr>
        <w:rFonts w:ascii="Arial" w:hAnsi="Arial"/>
        <w:sz w:val="12"/>
        <w:szCs w:val="12"/>
        <w:lang w:val="en-US"/>
      </w:rPr>
      <w:t>kann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durch</w:t>
    </w:r>
    <w:proofErr w:type="spellEnd"/>
    <w:r>
      <w:rPr>
        <w:rFonts w:ascii="Arial" w:hAnsi="Arial"/>
        <w:sz w:val="12"/>
        <w:szCs w:val="12"/>
        <w:lang w:val="en-US"/>
      </w:rPr>
      <w:t xml:space="preserve"> Material und </w:t>
    </w:r>
    <w:proofErr w:type="spellStart"/>
    <w:r>
      <w:rPr>
        <w:rFonts w:ascii="Arial" w:hAnsi="Arial"/>
        <w:sz w:val="12"/>
        <w:szCs w:val="12"/>
        <w:lang w:val="en-US"/>
      </w:rPr>
      <w:t>Substrat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Unterschiede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sowieso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durch</w:t>
    </w:r>
    <w:proofErr w:type="spellEnd"/>
    <w:r>
      <w:rPr>
        <w:rFonts w:ascii="Arial" w:hAnsi="Arial"/>
        <w:sz w:val="12"/>
        <w:szCs w:val="12"/>
        <w:lang w:val="en-US"/>
      </w:rPr>
      <w:t xml:space="preserve"> die </w:t>
    </w:r>
    <w:proofErr w:type="spellStart"/>
    <w:r>
      <w:rPr>
        <w:rFonts w:ascii="Arial" w:hAnsi="Arial"/>
        <w:sz w:val="12"/>
        <w:szCs w:val="12"/>
        <w:lang w:val="en-US"/>
      </w:rPr>
      <w:t>Unterschiede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tatsächlichen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Bedingung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vor</w:t>
    </w:r>
    <w:proofErr w:type="spellEnd"/>
    <w:r>
      <w:rPr>
        <w:rFonts w:ascii="Arial" w:hAnsi="Arial"/>
        <w:sz w:val="12"/>
        <w:szCs w:val="12"/>
        <w:lang w:val="en-US"/>
      </w:rPr>
      <w:t xml:space="preserve"> Ort </w:t>
    </w:r>
    <w:proofErr w:type="spellStart"/>
    <w:r>
      <w:rPr>
        <w:rFonts w:ascii="Arial" w:hAnsi="Arial"/>
        <w:sz w:val="12"/>
        <w:szCs w:val="12"/>
        <w:lang w:val="en-US"/>
      </w:rPr>
      <w:t>keine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Mängelgewähleistungen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oder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Gewährleistung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bezüglich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einer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Eignung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für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einen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bestimmten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Zweck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keinerlei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Haftbarkeit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aus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jedlichen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Rechtsverhältnissen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aus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diesen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Informationen</w:t>
    </w:r>
    <w:proofErr w:type="spellEnd"/>
    <w:r>
      <w:rPr>
        <w:rFonts w:ascii="Arial" w:hAnsi="Arial"/>
        <w:sz w:val="12"/>
        <w:szCs w:val="12"/>
        <w:lang w:val="en-US"/>
      </w:rPr>
      <w:t xml:space="preserve">, </w:t>
    </w:r>
    <w:proofErr w:type="spellStart"/>
    <w:r>
      <w:rPr>
        <w:rFonts w:ascii="Arial" w:hAnsi="Arial"/>
        <w:sz w:val="12"/>
        <w:szCs w:val="12"/>
        <w:lang w:val="en-US"/>
      </w:rPr>
      <w:t>jeglichen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Empfehlungen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oder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anderen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angebotenen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Beratungen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abgeleitet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werden</w:t>
    </w:r>
    <w:proofErr w:type="spellEnd"/>
    <w:r>
      <w:rPr>
        <w:rFonts w:ascii="Arial" w:hAnsi="Arial"/>
        <w:sz w:val="12"/>
        <w:szCs w:val="12"/>
        <w:lang w:val="en-US"/>
      </w:rPr>
      <w:t xml:space="preserve">. </w:t>
    </w:r>
  </w:p>
  <w:p w:rsidR="000F4B2E" w:rsidRPr="000F4B2E" w:rsidRDefault="000F4B2E" w:rsidP="000F4B2E">
    <w:pPr>
      <w:pStyle w:val="Fuzeile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2E" w:rsidRDefault="000F4B2E">
      <w:r>
        <w:separator/>
      </w:r>
    </w:p>
  </w:footnote>
  <w:footnote w:type="continuationSeparator" w:id="0">
    <w:p w:rsidR="000F4B2E" w:rsidRDefault="000F4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2E" w:rsidRDefault="000F4B2E">
    <w:pPr>
      <w:pStyle w:val="Kopfzeile"/>
    </w:pPr>
    <w:r>
      <w:rPr>
        <w:noProof/>
        <w:lang w:val="de-AT" w:eastAsia="de-AT"/>
      </w:rPr>
      <w:drawing>
        <wp:inline distT="0" distB="0" distL="0" distR="0">
          <wp:extent cx="1638300" cy="533400"/>
          <wp:effectExtent l="19050" t="0" r="0" b="0"/>
          <wp:docPr id="1" name="Bild 1" descr="kLine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ine_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DKS Technik GmbH / Gnadenwald 90a/6069 Gnadenwald</w:t>
    </w:r>
  </w:p>
  <w:p w:rsidR="000F4B2E" w:rsidRDefault="000F4B2E">
    <w:pPr>
      <w:pStyle w:val="Kopfzeile"/>
    </w:pPr>
    <w:r>
      <w:rPr>
        <w:noProof/>
        <w:lang w:val="de-AT"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57pt;margin-top:24.9pt;width:595pt;height:0;z-index:251659264" o:connectortype="straight" strokecolor="#4f81bd" strokeweight="4.75pt">
          <v:shadow type="perspective" color="#243f60" opacity=".5" offset="1pt" offset2="-1pt"/>
        </v:shape>
      </w:pict>
    </w:r>
    <w:r>
      <w:rPr>
        <w:noProof/>
        <w:lang w:val="de-AT" w:eastAsia="de-AT"/>
      </w:rPr>
      <w:pict>
        <v:shape id="_x0000_s5121" type="#_x0000_t32" style="position:absolute;margin-left:-60.75pt;margin-top:24.9pt;width:595pt;height:0;z-index:251658240" o:connectortype="straight" strokecolor="#4f81bd" strokeweight="4.75pt">
          <v:shadow type="perspective" color="#243f60" opacity=".5" offset="1pt" offset2="-1pt"/>
        </v:shape>
      </w:pict>
    </w:r>
    <w:r>
      <w:tab/>
    </w:r>
    <w:r>
      <w:tab/>
      <w:t>Tel.:+43/5223/48488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6E"/>
    <w:multiLevelType w:val="hybridMultilevel"/>
    <w:tmpl w:val="915ACAB6"/>
    <w:lvl w:ilvl="0" w:tplc="6CDEE26A">
      <w:start w:val="1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CF905F0"/>
    <w:multiLevelType w:val="hybridMultilevel"/>
    <w:tmpl w:val="089EEB58"/>
    <w:lvl w:ilvl="0" w:tplc="289A07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FC7B11"/>
    <w:multiLevelType w:val="hybridMultilevel"/>
    <w:tmpl w:val="37926D4A"/>
    <w:lvl w:ilvl="0" w:tplc="DD3E4034">
      <w:start w:val="1"/>
      <w:numFmt w:val="bullet"/>
      <w:lvlText w:val="-"/>
      <w:lvlJc w:val="left"/>
      <w:pPr>
        <w:ind w:left="291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F47713"/>
    <w:multiLevelType w:val="hybridMultilevel"/>
    <w:tmpl w:val="31E0D1E2"/>
    <w:lvl w:ilvl="0" w:tplc="36AE0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62F09"/>
    <w:multiLevelType w:val="hybridMultilevel"/>
    <w:tmpl w:val="0EB69E56"/>
    <w:lvl w:ilvl="0" w:tplc="47D0604E">
      <w:numFmt w:val="bullet"/>
      <w:lvlText w:val="-"/>
      <w:lvlJc w:val="left"/>
      <w:pPr>
        <w:ind w:left="2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5">
    <w:nsid w:val="6998316F"/>
    <w:multiLevelType w:val="hybridMultilevel"/>
    <w:tmpl w:val="743E089C"/>
    <w:lvl w:ilvl="0" w:tplc="DD3E4034">
      <w:start w:val="1"/>
      <w:numFmt w:val="bullet"/>
      <w:lvlText w:val="-"/>
      <w:lvlJc w:val="left"/>
      <w:pPr>
        <w:ind w:left="220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5"/>
    <o:shapelayout v:ext="edit">
      <o:idmap v:ext="edit" data="5"/>
      <o:rules v:ext="edit">
        <o:r id="V:Rule4" type="connector" idref="#_x0000_s5123"/>
        <o:r id="V:Rule5" type="connector" idref="#_x0000_s5122"/>
        <o:r id="V:Rule6" type="connector" idref="#_x0000_s5121"/>
        <o:r id="V:Rule7" type="connector" idref="#_x0000_s5124"/>
      </o:rules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BA72A6"/>
    <w:rsid w:val="00031121"/>
    <w:rsid w:val="000B0D63"/>
    <w:rsid w:val="000D5661"/>
    <w:rsid w:val="000F4B2E"/>
    <w:rsid w:val="00104BD8"/>
    <w:rsid w:val="001871AC"/>
    <w:rsid w:val="001F33CB"/>
    <w:rsid w:val="00220503"/>
    <w:rsid w:val="00233BF3"/>
    <w:rsid w:val="0024793D"/>
    <w:rsid w:val="00285D29"/>
    <w:rsid w:val="002C43B0"/>
    <w:rsid w:val="002F5DA6"/>
    <w:rsid w:val="00301DF6"/>
    <w:rsid w:val="00372CF6"/>
    <w:rsid w:val="003A21C6"/>
    <w:rsid w:val="003C23F9"/>
    <w:rsid w:val="003C31FD"/>
    <w:rsid w:val="003C4AD9"/>
    <w:rsid w:val="004072BD"/>
    <w:rsid w:val="0042409F"/>
    <w:rsid w:val="004448F8"/>
    <w:rsid w:val="004510A1"/>
    <w:rsid w:val="00480C47"/>
    <w:rsid w:val="004B33FF"/>
    <w:rsid w:val="004D523A"/>
    <w:rsid w:val="004E0D88"/>
    <w:rsid w:val="005101A8"/>
    <w:rsid w:val="00540F5B"/>
    <w:rsid w:val="00545F74"/>
    <w:rsid w:val="005613FE"/>
    <w:rsid w:val="005E60A9"/>
    <w:rsid w:val="005F5267"/>
    <w:rsid w:val="005F5832"/>
    <w:rsid w:val="0064339D"/>
    <w:rsid w:val="006A066A"/>
    <w:rsid w:val="0075174D"/>
    <w:rsid w:val="007C62E7"/>
    <w:rsid w:val="007F41D8"/>
    <w:rsid w:val="008157B1"/>
    <w:rsid w:val="00820A08"/>
    <w:rsid w:val="008628FE"/>
    <w:rsid w:val="00873909"/>
    <w:rsid w:val="00875E02"/>
    <w:rsid w:val="008D5A73"/>
    <w:rsid w:val="008E527B"/>
    <w:rsid w:val="009272EF"/>
    <w:rsid w:val="00932FFC"/>
    <w:rsid w:val="0093717E"/>
    <w:rsid w:val="009767B8"/>
    <w:rsid w:val="009849EC"/>
    <w:rsid w:val="00987F59"/>
    <w:rsid w:val="00994C48"/>
    <w:rsid w:val="009B338E"/>
    <w:rsid w:val="009D4D87"/>
    <w:rsid w:val="00A2132C"/>
    <w:rsid w:val="00A645DF"/>
    <w:rsid w:val="00B2671A"/>
    <w:rsid w:val="00B71842"/>
    <w:rsid w:val="00BA2341"/>
    <w:rsid w:val="00BA72A6"/>
    <w:rsid w:val="00BD2D5D"/>
    <w:rsid w:val="00C03976"/>
    <w:rsid w:val="00C46626"/>
    <w:rsid w:val="00CE233D"/>
    <w:rsid w:val="00D1007C"/>
    <w:rsid w:val="00D36AC6"/>
    <w:rsid w:val="00D80FBB"/>
    <w:rsid w:val="00DA05B4"/>
    <w:rsid w:val="00E0446F"/>
    <w:rsid w:val="00E53C79"/>
    <w:rsid w:val="00E64E84"/>
    <w:rsid w:val="00E71070"/>
    <w:rsid w:val="00E96E7E"/>
    <w:rsid w:val="00EA4BD5"/>
    <w:rsid w:val="00ED5C90"/>
    <w:rsid w:val="00EE08FF"/>
    <w:rsid w:val="00EE26F3"/>
    <w:rsid w:val="00F229A1"/>
    <w:rsid w:val="00F507D9"/>
    <w:rsid w:val="00F515A2"/>
    <w:rsid w:val="00FD4BF5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FFC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932FFC"/>
  </w:style>
  <w:style w:type="character" w:styleId="Kommentarzeichen">
    <w:name w:val="annotation reference"/>
    <w:semiHidden/>
    <w:rsid w:val="00932FFC"/>
    <w:rPr>
      <w:sz w:val="16"/>
    </w:rPr>
  </w:style>
  <w:style w:type="paragraph" w:styleId="Kommentartext">
    <w:name w:val="annotation text"/>
    <w:basedOn w:val="Standard"/>
    <w:semiHidden/>
    <w:rsid w:val="00932FFC"/>
    <w:rPr>
      <w:rFonts w:ascii="Arial" w:hAnsi="Arial"/>
    </w:rPr>
  </w:style>
  <w:style w:type="paragraph" w:styleId="Kopfzeile">
    <w:name w:val="header"/>
    <w:basedOn w:val="Standard"/>
    <w:rsid w:val="00932F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32FF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33F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D4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0F4B2E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B209-B5E5-4497-85C6-03509FF0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Techn.Datenblatt Dinitrol 4010</vt:lpstr>
    </vt:vector>
  </TitlesOfParts>
  <Company>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Techn.Datenblatt Dinitrol 4010</dc:title>
  <dc:creator>Roberto</dc:creator>
  <cp:lastModifiedBy>Sabine Knapp, Fa. DKS</cp:lastModifiedBy>
  <cp:revision>6</cp:revision>
  <cp:lastPrinted>2014-05-19T11:52:00Z</cp:lastPrinted>
  <dcterms:created xsi:type="dcterms:W3CDTF">2014-12-16T08:23:00Z</dcterms:created>
  <dcterms:modified xsi:type="dcterms:W3CDTF">2015-02-26T13:45:00Z</dcterms:modified>
</cp:coreProperties>
</file>